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448E" w14:textId="4BA0FE63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258B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Pr="00CB2A55">
        <w:rPr>
          <w:b/>
          <w:i/>
          <w:noProof/>
          <w:sz w:val="28"/>
        </w:rPr>
        <w:t>25</w:t>
      </w:r>
      <w:r w:rsidR="001F1781" w:rsidRPr="00CB2A55">
        <w:rPr>
          <w:b/>
          <w:i/>
          <w:noProof/>
          <w:sz w:val="28"/>
        </w:rPr>
        <w:t>438</w:t>
      </w:r>
      <w:r w:rsidR="00CB2A55" w:rsidRPr="00CB2A55">
        <w:rPr>
          <w:b/>
          <w:i/>
          <w:noProof/>
          <w:sz w:val="28"/>
        </w:rPr>
        <w:t>3</w:t>
      </w:r>
    </w:p>
    <w:p w14:paraId="6F6EBB6C" w14:textId="7582B0AA" w:rsidR="00E073D4" w:rsidRPr="00DA53A0" w:rsidRDefault="009258BC" w:rsidP="00E073D4">
      <w:pPr>
        <w:pStyle w:val="Header"/>
        <w:rPr>
          <w:sz w:val="22"/>
          <w:szCs w:val="22"/>
        </w:rPr>
      </w:pPr>
      <w:r>
        <w:rPr>
          <w:sz w:val="24"/>
        </w:rPr>
        <w:t>Wuhan, China</w:t>
      </w:r>
      <w:r w:rsidR="00E073D4">
        <w:rPr>
          <w:sz w:val="24"/>
        </w:rPr>
        <w:t xml:space="preserve">, </w:t>
      </w:r>
      <w:r w:rsidR="003333A7">
        <w:rPr>
          <w:sz w:val="24"/>
        </w:rPr>
        <w:t>13-17 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33616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5A8E">
        <w:rPr>
          <w:rFonts w:ascii="Arial" w:hAnsi="Arial"/>
          <w:b/>
          <w:lang w:val="en-US"/>
        </w:rPr>
        <w:t>Ericsson</w:t>
      </w:r>
    </w:p>
    <w:p w14:paraId="2C458A19" w14:textId="62843C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5A8E" w:rsidRPr="00595A8E">
        <w:rPr>
          <w:rFonts w:ascii="Arial" w:hAnsi="Arial" w:cs="Arial"/>
          <w:b/>
        </w:rPr>
        <w:t>DP on reference to other release version</w:t>
      </w:r>
    </w:p>
    <w:p w14:paraId="02CFB229" w14:textId="06061E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1C46BA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5A8E">
        <w:rPr>
          <w:rFonts w:ascii="Arial" w:hAnsi="Arial"/>
          <w:b/>
        </w:rPr>
        <w:t>6.1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1E2F179" w:rsidR="00C022E3" w:rsidRDefault="000F1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one of the options in this DP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5C49832A" w:rsidR="00C022E3" w:rsidRPr="00C841A6" w:rsidRDefault="00C022E3">
      <w:pPr>
        <w:pStyle w:val="Reference"/>
      </w:pPr>
      <w:r w:rsidRPr="00C841A6">
        <w:t>[</w:t>
      </w:r>
      <w:r w:rsidR="00E82D8D" w:rsidRPr="00C841A6">
        <w:t>1</w:t>
      </w:r>
      <w:r w:rsidRPr="00C841A6">
        <w:t>]</w:t>
      </w:r>
      <w:r w:rsidRPr="00C841A6">
        <w:tab/>
      </w:r>
      <w:r w:rsidR="008D5E96" w:rsidRPr="00C841A6">
        <w:t>S5-253652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01444F6B" w:rsidR="00C022E3" w:rsidRDefault="00B34C01">
      <w:r w:rsidRPr="007D2489">
        <w:rPr>
          <w:iCs/>
        </w:rPr>
        <w:t>The CR</w:t>
      </w:r>
      <w:r w:rsidR="00B15D9A" w:rsidRPr="007D2489">
        <w:rPr>
          <w:iCs/>
        </w:rPr>
        <w:t xml:space="preserve"> </w:t>
      </w:r>
      <w:r w:rsidR="002637C7" w:rsidRPr="007D2489">
        <w:rPr>
          <w:iCs/>
        </w:rPr>
        <w:t xml:space="preserve">S5-253652 [1] </w:t>
      </w:r>
      <w:r w:rsidR="007D2489" w:rsidRPr="007D2489">
        <w:rPr>
          <w:iCs/>
        </w:rPr>
        <w:t>“</w:t>
      </w:r>
      <w:r w:rsidR="007D2489" w:rsidRPr="007D2489">
        <w:rPr>
          <w:iCs/>
          <w:noProof/>
        </w:rPr>
        <w:t>Rel-16 CR 32.312 Wro</w:t>
      </w:r>
      <w:r w:rsidR="007D2489" w:rsidRPr="00D60EDA">
        <w:rPr>
          <w:noProof/>
        </w:rPr>
        <w:t>ng reference</w:t>
      </w:r>
      <w:r w:rsidR="007D2489">
        <w:t>”, and related Rel-17/18 mirror CRs, w</w:t>
      </w:r>
      <w:r w:rsidR="002B40C1">
        <w:t>as agreed at SA5#162 and approved by SA#109.</w:t>
      </w:r>
    </w:p>
    <w:p w14:paraId="14E92C35" w14:textId="06546307" w:rsidR="002B40C1" w:rsidRDefault="002B40C1">
      <w:r>
        <w:t>The Reason for change</w:t>
      </w:r>
      <w:r w:rsidR="005E110A">
        <w:t xml:space="preserve"> of this CR explains the background: “</w:t>
      </w:r>
      <w:r w:rsidR="00C33407">
        <w:rPr>
          <w:noProof/>
          <w:lang w:val="en-US"/>
        </w:rPr>
        <w:t xml:space="preserve">TS </w:t>
      </w:r>
      <w:r w:rsidR="00C33407" w:rsidRPr="00D60EDA">
        <w:rPr>
          <w:noProof/>
          <w:lang w:val="en-US"/>
        </w:rPr>
        <w:t>32.312 imports</w:t>
      </w:r>
      <w:r w:rsidR="00C33407">
        <w:rPr>
          <w:noProof/>
          <w:lang w:val="en-US"/>
        </w:rPr>
        <w:t xml:space="preserve"> entities</w:t>
      </w:r>
      <w:r w:rsidR="00C33407" w:rsidRPr="00D60EDA">
        <w:rPr>
          <w:noProof/>
          <w:lang w:val="en-US"/>
        </w:rPr>
        <w:t xml:space="preserve"> from</w:t>
      </w:r>
      <w:r w:rsidR="00C33407">
        <w:rPr>
          <w:noProof/>
          <w:lang w:val="en-US"/>
        </w:rPr>
        <w:t xml:space="preserve"> the referred</w:t>
      </w:r>
      <w:r w:rsidR="00C33407" w:rsidRPr="00D60EDA">
        <w:rPr>
          <w:noProof/>
          <w:lang w:val="en-US"/>
        </w:rPr>
        <w:t xml:space="preserve"> TS 32.622.  The last release of 32.622 was Rel-11. The correct reference should be to 28.622, which is the continuation of 32.622 since Rel-1</w:t>
      </w:r>
      <w:r w:rsidR="00C33407">
        <w:rPr>
          <w:noProof/>
          <w:lang w:val="en-US"/>
        </w:rPr>
        <w:t>1 and exists in the same release as the current version of 32.312</w:t>
      </w:r>
      <w:r w:rsidR="005E110A">
        <w:t>”</w:t>
      </w:r>
      <w:r w:rsidR="00C33407">
        <w:t>.</w:t>
      </w:r>
    </w:p>
    <w:p w14:paraId="294B1048" w14:textId="3A726DC6" w:rsidR="00C64F9C" w:rsidRDefault="00C64F9C">
      <w:r>
        <w:t>The Summary of change</w:t>
      </w:r>
      <w:r w:rsidR="000D5A77">
        <w:t xml:space="preserve"> (as well as the actual change in the TS) was </w:t>
      </w:r>
      <w:r w:rsidR="00400AC3">
        <w:t xml:space="preserve">to </w:t>
      </w:r>
      <w:r w:rsidR="000D5A77">
        <w:t>“</w:t>
      </w:r>
      <w:r w:rsidR="000D5A77">
        <w:rPr>
          <w:noProof/>
        </w:rPr>
        <w:t>Update the reference of 32.622 to 28.622</w:t>
      </w:r>
      <w:r w:rsidR="000D5A77">
        <w:t>”</w:t>
      </w:r>
      <w:r w:rsidR="00400AC3">
        <w:t xml:space="preserve">, meaning that the reference </w:t>
      </w:r>
      <w:r w:rsidR="002C014B">
        <w:t xml:space="preserve">will </w:t>
      </w:r>
      <w:r w:rsidR="00BD47E0">
        <w:t>point</w:t>
      </w:r>
      <w:r w:rsidR="002C014B">
        <w:t xml:space="preserve"> to the latest version on 28.622 in the same release as the Rel-16/17/18 TS 32.312.</w:t>
      </w:r>
      <w:r w:rsidR="009204F3">
        <w:t xml:space="preserve"> “So far so good”.</w:t>
      </w:r>
    </w:p>
    <w:p w14:paraId="7B68F4B3" w14:textId="5884FE08" w:rsidR="009204F3" w:rsidRDefault="001F2CC6">
      <w:r>
        <w:t xml:space="preserve">However, after SA5#162 we have also </w:t>
      </w:r>
      <w:r w:rsidR="00726DBE">
        <w:t xml:space="preserve">discovered that several of the other 4G Interface IRP IS TSs have the same issue with a reference to </w:t>
      </w:r>
      <w:r w:rsidR="000E6C1D">
        <w:t>32.622</w:t>
      </w:r>
      <w:r w:rsidR="005671D9">
        <w:t xml:space="preserve"> (e.g. 32.572, 32.122, 32.</w:t>
      </w:r>
      <w:r w:rsidR="008F50B0">
        <w:t>322)</w:t>
      </w:r>
      <w:r w:rsidR="000E6C1D">
        <w:t xml:space="preserve">. When preparing similar CRs as [1] for those TSs, </w:t>
      </w:r>
      <w:r w:rsidR="002C645F">
        <w:t>we identified an alternative way of solving this error</w:t>
      </w:r>
      <w:r w:rsidR="00293B65">
        <w:t xml:space="preserve"> which may be a better solution and perhaps preferred by SA5</w:t>
      </w:r>
      <w:r w:rsidR="00B33A9A">
        <w:t xml:space="preserve">. </w:t>
      </w:r>
      <w:proofErr w:type="gramStart"/>
      <w:r w:rsidR="00B33A9A">
        <w:t>Therefore</w:t>
      </w:r>
      <w:proofErr w:type="gramEnd"/>
      <w:r w:rsidR="00B33A9A">
        <w:t xml:space="preserve"> we would like SA5 to consider</w:t>
      </w:r>
      <w:r w:rsidR="000A7B00">
        <w:t xml:space="preserve"> the pros and cons of</w:t>
      </w:r>
      <w:r w:rsidR="00B33A9A">
        <w:t xml:space="preserve"> both options and take a decision on the recommended option before we prepare those CRs.</w:t>
      </w:r>
    </w:p>
    <w:p w14:paraId="2528A688" w14:textId="60310289" w:rsidR="00754C92" w:rsidRDefault="000A7B00">
      <w:pPr>
        <w:rPr>
          <w:iCs/>
        </w:rPr>
      </w:pPr>
      <w:r>
        <w:rPr>
          <w:i/>
        </w:rPr>
        <w:t>The alternative option</w:t>
      </w:r>
      <w:r w:rsidR="00754C92">
        <w:rPr>
          <w:i/>
        </w:rPr>
        <w:t xml:space="preserve"> (let’s call it option 2)</w:t>
      </w:r>
      <w:r>
        <w:rPr>
          <w:i/>
        </w:rPr>
        <w:t xml:space="preserve"> is this: </w:t>
      </w:r>
      <w:r w:rsidRPr="00846630">
        <w:rPr>
          <w:iCs/>
        </w:rPr>
        <w:t xml:space="preserve">Instead of </w:t>
      </w:r>
      <w:r w:rsidR="00372714" w:rsidRPr="00846630">
        <w:rPr>
          <w:iCs/>
        </w:rPr>
        <w:t>updating</w:t>
      </w:r>
      <w:r w:rsidR="00BB6FAE" w:rsidRPr="00846630">
        <w:rPr>
          <w:iCs/>
        </w:rPr>
        <w:t xml:space="preserve"> the reference to 28.622 (</w:t>
      </w:r>
      <w:r w:rsidR="007C3147" w:rsidRPr="00846630">
        <w:rPr>
          <w:iCs/>
        </w:rPr>
        <w:t>same</w:t>
      </w:r>
      <w:r w:rsidR="00BB6FAE" w:rsidRPr="00846630">
        <w:rPr>
          <w:iCs/>
        </w:rPr>
        <w:t xml:space="preserve"> version</w:t>
      </w:r>
      <w:r w:rsidR="007C3147" w:rsidRPr="00846630">
        <w:rPr>
          <w:iCs/>
        </w:rPr>
        <w:t xml:space="preserve"> as the referencing TS</w:t>
      </w:r>
      <w:r w:rsidR="00BB6FAE" w:rsidRPr="00846630">
        <w:rPr>
          <w:iCs/>
        </w:rPr>
        <w:t>)</w:t>
      </w:r>
      <w:r w:rsidR="007C3147" w:rsidRPr="00846630">
        <w:rPr>
          <w:iCs/>
        </w:rPr>
        <w:t>, keep the reference to 32.622 but make it</w:t>
      </w:r>
      <w:r w:rsidR="006E3DA2" w:rsidRPr="00846630">
        <w:rPr>
          <w:iCs/>
        </w:rPr>
        <w:t xml:space="preserve"> a specific reference</w:t>
      </w:r>
      <w:r w:rsidR="00D625D2" w:rsidRPr="00846630">
        <w:rPr>
          <w:iCs/>
        </w:rPr>
        <w:t xml:space="preserve"> to the latest Rel-11 version of 32.622 which is 11.1.0. This was the </w:t>
      </w:r>
      <w:r w:rsidR="007B4CDB" w:rsidRPr="00846630">
        <w:rPr>
          <w:iCs/>
        </w:rPr>
        <w:t>reference that was intended when 32.312 (and the other Interface IRP specifications) were created in Rel-11, thus there will be no impact on</w:t>
      </w:r>
      <w:r w:rsidR="00B60B4D" w:rsidRPr="00846630">
        <w:rPr>
          <w:iCs/>
        </w:rPr>
        <w:t xml:space="preserve"> the inherited attributes </w:t>
      </w:r>
      <w:r w:rsidR="00846630" w:rsidRPr="00846630">
        <w:rPr>
          <w:iCs/>
        </w:rPr>
        <w:t>from Top.</w:t>
      </w:r>
    </w:p>
    <w:p w14:paraId="6CA57B9A" w14:textId="744F03C1" w:rsidR="00754C92" w:rsidRDefault="00754C92">
      <w:pPr>
        <w:rPr>
          <w:iCs/>
        </w:rPr>
      </w:pPr>
      <w:r>
        <w:rPr>
          <w:iCs/>
        </w:rPr>
        <w:t>Summary of the options:</w:t>
      </w:r>
    </w:p>
    <w:p w14:paraId="171D6648" w14:textId="40E63980" w:rsidR="00754C92" w:rsidRDefault="00754C92" w:rsidP="00754C92">
      <w:pPr>
        <w:pStyle w:val="ListParagraph"/>
        <w:numPr>
          <w:ilvl w:val="0"/>
          <w:numId w:val="23"/>
        </w:numPr>
        <w:rPr>
          <w:iCs/>
        </w:rPr>
      </w:pPr>
      <w:r>
        <w:rPr>
          <w:iCs/>
        </w:rPr>
        <w:t xml:space="preserve">Same solution as in [1], i.e. </w:t>
      </w:r>
      <w:r w:rsidR="00B34663" w:rsidRPr="00846630">
        <w:rPr>
          <w:iCs/>
        </w:rPr>
        <w:t>updating the reference</w:t>
      </w:r>
      <w:r w:rsidR="00B34663">
        <w:rPr>
          <w:iCs/>
        </w:rPr>
        <w:t xml:space="preserve"> from 32.622</w:t>
      </w:r>
      <w:r w:rsidR="00B34663" w:rsidRPr="00846630">
        <w:rPr>
          <w:iCs/>
        </w:rPr>
        <w:t xml:space="preserve"> to 28.622 (same version as the referencing TS)</w:t>
      </w:r>
      <w:r w:rsidR="00B34663">
        <w:rPr>
          <w:iCs/>
        </w:rPr>
        <w:t>.</w:t>
      </w:r>
    </w:p>
    <w:p w14:paraId="2C6271A8" w14:textId="5247E9B5" w:rsidR="00B34663" w:rsidRDefault="00B34663" w:rsidP="00B34663">
      <w:pPr>
        <w:pStyle w:val="ListParagraph"/>
        <w:numPr>
          <w:ilvl w:val="1"/>
          <w:numId w:val="23"/>
        </w:numPr>
        <w:rPr>
          <w:iCs/>
        </w:rPr>
      </w:pPr>
      <w:r>
        <w:rPr>
          <w:iCs/>
        </w:rPr>
        <w:t xml:space="preserve">Pros: </w:t>
      </w:r>
      <w:r w:rsidR="00147936">
        <w:rPr>
          <w:iCs/>
        </w:rPr>
        <w:t>All references are kept within the same release, i.e. keeping a “coherent</w:t>
      </w:r>
      <w:r w:rsidR="00DF772B">
        <w:rPr>
          <w:iCs/>
        </w:rPr>
        <w:t xml:space="preserve"> and consistent” set of TSs in the same release, </w:t>
      </w:r>
      <w:r w:rsidR="00C743A7">
        <w:rPr>
          <w:iCs/>
        </w:rPr>
        <w:t xml:space="preserve">with less risk of inconsistencies e.g. when new features are added or </w:t>
      </w:r>
      <w:r w:rsidR="00E536F5">
        <w:rPr>
          <w:iCs/>
        </w:rPr>
        <w:t>existing features modified</w:t>
      </w:r>
      <w:r w:rsidR="003430C6">
        <w:rPr>
          <w:iCs/>
        </w:rPr>
        <w:t xml:space="preserve"> in the future</w:t>
      </w:r>
      <w:r w:rsidR="00C743A7">
        <w:rPr>
          <w:iCs/>
        </w:rPr>
        <w:t>.</w:t>
      </w:r>
    </w:p>
    <w:p w14:paraId="6384E954" w14:textId="40DA9D08" w:rsidR="00E536F5" w:rsidRPr="00754C92" w:rsidRDefault="00E536F5" w:rsidP="00B34663">
      <w:pPr>
        <w:pStyle w:val="ListParagraph"/>
        <w:numPr>
          <w:ilvl w:val="1"/>
          <w:numId w:val="23"/>
        </w:numPr>
        <w:rPr>
          <w:iCs/>
        </w:rPr>
      </w:pPr>
      <w:r>
        <w:rPr>
          <w:iCs/>
        </w:rPr>
        <w:t xml:space="preserve">Cons: </w:t>
      </w:r>
      <w:r w:rsidR="003610C2">
        <w:rPr>
          <w:iCs/>
        </w:rPr>
        <w:t xml:space="preserve">1) </w:t>
      </w:r>
      <w:r>
        <w:rPr>
          <w:iCs/>
        </w:rPr>
        <w:t xml:space="preserve">The inherited attributes from </w:t>
      </w:r>
      <w:r w:rsidRPr="009405C9">
        <w:rPr>
          <w:i/>
        </w:rPr>
        <w:t>Top</w:t>
      </w:r>
      <w:r>
        <w:rPr>
          <w:iCs/>
        </w:rPr>
        <w:t xml:space="preserve"> IOC are changed compared to </w:t>
      </w:r>
      <w:r w:rsidR="00403CCF">
        <w:rPr>
          <w:iCs/>
        </w:rPr>
        <w:t>the Rel-11 version of 32.622</w:t>
      </w:r>
      <w:r w:rsidR="00216E81">
        <w:rPr>
          <w:iCs/>
        </w:rPr>
        <w:t xml:space="preserve">: </w:t>
      </w:r>
      <w:r w:rsidR="00216E81" w:rsidRPr="009405C9">
        <w:rPr>
          <w:i/>
        </w:rPr>
        <w:t>Top</w:t>
      </w:r>
      <w:r w:rsidR="00216E81">
        <w:rPr>
          <w:iCs/>
        </w:rPr>
        <w:t xml:space="preserve"> in 28.622 inherits from </w:t>
      </w:r>
      <w:r w:rsidR="00216E81" w:rsidRPr="009405C9">
        <w:rPr>
          <w:i/>
        </w:rPr>
        <w:t>Top</w:t>
      </w:r>
      <w:r w:rsidR="00216E81">
        <w:rPr>
          <w:iCs/>
        </w:rPr>
        <w:t xml:space="preserve">_ and </w:t>
      </w:r>
      <w:proofErr w:type="spellStart"/>
      <w:r w:rsidR="00216E81" w:rsidRPr="009405C9">
        <w:rPr>
          <w:i/>
        </w:rPr>
        <w:t>TopX</w:t>
      </w:r>
      <w:proofErr w:type="spellEnd"/>
      <w:r w:rsidR="0014290E">
        <w:rPr>
          <w:iCs/>
        </w:rPr>
        <w:t xml:space="preserve"> which contain </w:t>
      </w:r>
      <w:r w:rsidR="009405C9">
        <w:rPr>
          <w:iCs/>
        </w:rPr>
        <w:t>the attributes id</w:t>
      </w:r>
      <w:r w:rsidR="00226E0F">
        <w:rPr>
          <w:iCs/>
        </w:rPr>
        <w:t xml:space="preserve">, </w:t>
      </w:r>
      <w:proofErr w:type="spellStart"/>
      <w:r w:rsidR="00FA0C88" w:rsidRPr="00FA0C88">
        <w:rPr>
          <w:iCs/>
        </w:rPr>
        <w:t>objectClass</w:t>
      </w:r>
      <w:proofErr w:type="spellEnd"/>
      <w:r w:rsidR="00FA0C88">
        <w:rPr>
          <w:iCs/>
        </w:rPr>
        <w:t xml:space="preserve"> and </w:t>
      </w:r>
      <w:proofErr w:type="spellStart"/>
      <w:r w:rsidR="00B32577" w:rsidRPr="00B32577">
        <w:rPr>
          <w:iCs/>
        </w:rPr>
        <w:t>objectInstance</w:t>
      </w:r>
      <w:proofErr w:type="spellEnd"/>
      <w:r w:rsidR="00B32577">
        <w:rPr>
          <w:iCs/>
        </w:rPr>
        <w:t xml:space="preserve">, while 32.622 v11.1.0 </w:t>
      </w:r>
      <w:r w:rsidR="001E1AA9">
        <w:rPr>
          <w:iCs/>
        </w:rPr>
        <w:t xml:space="preserve">(which does not inherit from any </w:t>
      </w:r>
      <w:r w:rsidR="00235BF4">
        <w:rPr>
          <w:iCs/>
        </w:rPr>
        <w:t xml:space="preserve">IOC) contains only </w:t>
      </w:r>
      <w:proofErr w:type="spellStart"/>
      <w:r w:rsidR="00235BF4" w:rsidRPr="00FA0C88">
        <w:rPr>
          <w:iCs/>
        </w:rPr>
        <w:t>objectClass</w:t>
      </w:r>
      <w:proofErr w:type="spellEnd"/>
      <w:r w:rsidR="00235BF4">
        <w:rPr>
          <w:iCs/>
        </w:rPr>
        <w:t xml:space="preserve"> and </w:t>
      </w:r>
      <w:proofErr w:type="spellStart"/>
      <w:r w:rsidR="00235BF4" w:rsidRPr="00B32577">
        <w:rPr>
          <w:iCs/>
        </w:rPr>
        <w:t>objectInstance</w:t>
      </w:r>
      <w:proofErr w:type="spellEnd"/>
      <w:r w:rsidR="00235BF4">
        <w:rPr>
          <w:iCs/>
        </w:rPr>
        <w:t>.</w:t>
      </w:r>
      <w:r w:rsidR="003610C2">
        <w:rPr>
          <w:iCs/>
        </w:rPr>
        <w:t xml:space="preserve"> </w:t>
      </w:r>
      <w:r w:rsidR="00D305DB">
        <w:rPr>
          <w:iCs/>
        </w:rPr>
        <w:t xml:space="preserve">2) </w:t>
      </w:r>
      <w:r w:rsidR="003610C2">
        <w:rPr>
          <w:iCs/>
        </w:rPr>
        <w:t>Potential impacts</w:t>
      </w:r>
      <w:r w:rsidR="00D305DB">
        <w:rPr>
          <w:iCs/>
        </w:rPr>
        <w:t xml:space="preserve"> on the SS and interface implementations (although the Top attributes</w:t>
      </w:r>
      <w:r w:rsidR="00931390">
        <w:rPr>
          <w:iCs/>
        </w:rPr>
        <w:t xml:space="preserve"> are not explicitly defined in the SS, e.g. 32.316).</w:t>
      </w:r>
    </w:p>
    <w:p w14:paraId="6DE267AD" w14:textId="0D6EDB70" w:rsidR="00B34C01" w:rsidRDefault="00931390" w:rsidP="00931390">
      <w:pPr>
        <w:pStyle w:val="ListParagraph"/>
        <w:numPr>
          <w:ilvl w:val="0"/>
          <w:numId w:val="23"/>
        </w:numPr>
        <w:rPr>
          <w:iCs/>
        </w:rPr>
      </w:pPr>
      <w:r w:rsidRPr="00931390">
        <w:rPr>
          <w:iCs/>
        </w:rPr>
        <w:t>Instead of updating the reference to 28.622 (same version as the referencing TS), keep the reference to 32.622 but make it a specific reference to the latest Rel-11 version of 32.622 which is 11.1.0</w:t>
      </w:r>
      <w:r w:rsidR="00EE4068">
        <w:rPr>
          <w:iCs/>
        </w:rPr>
        <w:t>.</w:t>
      </w:r>
    </w:p>
    <w:p w14:paraId="1C1E30A0" w14:textId="011DF69E" w:rsidR="00EE4068" w:rsidRDefault="00EE4068" w:rsidP="00EE4068">
      <w:pPr>
        <w:pStyle w:val="ListParagraph"/>
        <w:numPr>
          <w:ilvl w:val="1"/>
          <w:numId w:val="23"/>
        </w:numPr>
        <w:rPr>
          <w:iCs/>
        </w:rPr>
      </w:pPr>
      <w:r>
        <w:rPr>
          <w:iCs/>
        </w:rPr>
        <w:t>Pros: No impact on inherited attributes from Top. No impact on the SS and interface implementations.</w:t>
      </w:r>
    </w:p>
    <w:p w14:paraId="0362D12A" w14:textId="63432955" w:rsidR="00B34C01" w:rsidRPr="00867FF1" w:rsidRDefault="003459A9" w:rsidP="00867FF1">
      <w:pPr>
        <w:pStyle w:val="ListParagraph"/>
        <w:numPr>
          <w:ilvl w:val="1"/>
          <w:numId w:val="23"/>
        </w:numPr>
        <w:rPr>
          <w:iCs/>
        </w:rPr>
      </w:pPr>
      <w:r>
        <w:rPr>
          <w:iCs/>
        </w:rPr>
        <w:t>Cons: The TS would contain a specific reference to a very old TS (which may not even be maintained in the future)</w:t>
      </w:r>
      <w:r w:rsidR="00867FF1">
        <w:rPr>
          <w:iCs/>
        </w:rPr>
        <w:t>, causing potential risk for inconsistent set of TSs in the same release in the future.</w:t>
      </w:r>
    </w:p>
    <w:p w14:paraId="459D8228" w14:textId="77777777" w:rsidR="00C022E3" w:rsidRDefault="00C022E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64E1BD46" w:rsidR="00C022E3" w:rsidRPr="00DA7798" w:rsidRDefault="00DA7798">
      <w:pPr>
        <w:rPr>
          <w:iCs/>
        </w:rPr>
      </w:pPr>
      <w:r w:rsidRPr="00DA7798">
        <w:rPr>
          <w:iCs/>
        </w:rPr>
        <w:t xml:space="preserve">We recommend </w:t>
      </w:r>
      <w:r w:rsidR="00B46A2A">
        <w:rPr>
          <w:iCs/>
        </w:rPr>
        <w:t xml:space="preserve">endorsing </w:t>
      </w:r>
      <w:r w:rsidRPr="00DA7798">
        <w:rPr>
          <w:iCs/>
        </w:rPr>
        <w:t>option 2.</w:t>
      </w:r>
    </w:p>
    <w:sectPr w:rsidR="00C022E3" w:rsidRPr="00DA77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F0DD" w14:textId="77777777" w:rsidR="00C1472D" w:rsidRDefault="00C1472D">
      <w:r>
        <w:separator/>
      </w:r>
    </w:p>
  </w:endnote>
  <w:endnote w:type="continuationSeparator" w:id="0">
    <w:p w14:paraId="5ABC7D68" w14:textId="77777777" w:rsidR="00C1472D" w:rsidRDefault="00C1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EC0C" w14:textId="77777777" w:rsidR="00C1472D" w:rsidRDefault="00C1472D">
      <w:r>
        <w:separator/>
      </w:r>
    </w:p>
  </w:footnote>
  <w:footnote w:type="continuationSeparator" w:id="0">
    <w:p w14:paraId="52A5DA58" w14:textId="77777777" w:rsidR="00C1472D" w:rsidRDefault="00C14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F20FAE"/>
    <w:multiLevelType w:val="hybridMultilevel"/>
    <w:tmpl w:val="0BFE51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130197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2C6C"/>
    <w:rsid w:val="000A4660"/>
    <w:rsid w:val="000A7B00"/>
    <w:rsid w:val="000D1B5B"/>
    <w:rsid w:val="000D5A77"/>
    <w:rsid w:val="000E626A"/>
    <w:rsid w:val="000E6C1D"/>
    <w:rsid w:val="000F164C"/>
    <w:rsid w:val="0010401F"/>
    <w:rsid w:val="00112FC3"/>
    <w:rsid w:val="001152C8"/>
    <w:rsid w:val="001343B4"/>
    <w:rsid w:val="0014290E"/>
    <w:rsid w:val="00147936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1AA9"/>
    <w:rsid w:val="001E4833"/>
    <w:rsid w:val="001F1781"/>
    <w:rsid w:val="001F2CC6"/>
    <w:rsid w:val="001F6A38"/>
    <w:rsid w:val="00201947"/>
    <w:rsid w:val="0020395B"/>
    <w:rsid w:val="002046CB"/>
    <w:rsid w:val="00204DC9"/>
    <w:rsid w:val="002062C0"/>
    <w:rsid w:val="00212C47"/>
    <w:rsid w:val="00215130"/>
    <w:rsid w:val="00216E81"/>
    <w:rsid w:val="00226E0F"/>
    <w:rsid w:val="00230002"/>
    <w:rsid w:val="00235BF4"/>
    <w:rsid w:val="00244C9A"/>
    <w:rsid w:val="00247216"/>
    <w:rsid w:val="002637C7"/>
    <w:rsid w:val="00266700"/>
    <w:rsid w:val="00274477"/>
    <w:rsid w:val="0028270D"/>
    <w:rsid w:val="00287E7C"/>
    <w:rsid w:val="00293B65"/>
    <w:rsid w:val="002A1857"/>
    <w:rsid w:val="002B40C1"/>
    <w:rsid w:val="002C014B"/>
    <w:rsid w:val="002C645F"/>
    <w:rsid w:val="002C7F38"/>
    <w:rsid w:val="0030628A"/>
    <w:rsid w:val="003333A7"/>
    <w:rsid w:val="003430C6"/>
    <w:rsid w:val="003459A9"/>
    <w:rsid w:val="0035122B"/>
    <w:rsid w:val="00353451"/>
    <w:rsid w:val="003610C2"/>
    <w:rsid w:val="003612BE"/>
    <w:rsid w:val="00365672"/>
    <w:rsid w:val="00371032"/>
    <w:rsid w:val="00371B44"/>
    <w:rsid w:val="00372714"/>
    <w:rsid w:val="003A717F"/>
    <w:rsid w:val="003C122B"/>
    <w:rsid w:val="003C4713"/>
    <w:rsid w:val="003C5A97"/>
    <w:rsid w:val="003C7A04"/>
    <w:rsid w:val="003D546B"/>
    <w:rsid w:val="003E42C0"/>
    <w:rsid w:val="003F52B2"/>
    <w:rsid w:val="00400AC3"/>
    <w:rsid w:val="00403CCF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000BC"/>
    <w:rsid w:val="00512A5C"/>
    <w:rsid w:val="00521131"/>
    <w:rsid w:val="00527C0B"/>
    <w:rsid w:val="005303AF"/>
    <w:rsid w:val="005410F6"/>
    <w:rsid w:val="0054774D"/>
    <w:rsid w:val="0055412D"/>
    <w:rsid w:val="00561D91"/>
    <w:rsid w:val="005671D9"/>
    <w:rsid w:val="005729C4"/>
    <w:rsid w:val="00577BC6"/>
    <w:rsid w:val="0059227B"/>
    <w:rsid w:val="00595A8E"/>
    <w:rsid w:val="005B0966"/>
    <w:rsid w:val="005B795D"/>
    <w:rsid w:val="005E110A"/>
    <w:rsid w:val="00610508"/>
    <w:rsid w:val="00613820"/>
    <w:rsid w:val="006269A6"/>
    <w:rsid w:val="00630609"/>
    <w:rsid w:val="00645C90"/>
    <w:rsid w:val="00652248"/>
    <w:rsid w:val="00657B80"/>
    <w:rsid w:val="00675B3C"/>
    <w:rsid w:val="0069495C"/>
    <w:rsid w:val="006D340A"/>
    <w:rsid w:val="006E3DA2"/>
    <w:rsid w:val="00715A1D"/>
    <w:rsid w:val="00726DBE"/>
    <w:rsid w:val="00754C92"/>
    <w:rsid w:val="00760BB0"/>
    <w:rsid w:val="0076157A"/>
    <w:rsid w:val="00784593"/>
    <w:rsid w:val="007A00EF"/>
    <w:rsid w:val="007B19EA"/>
    <w:rsid w:val="007B4CDB"/>
    <w:rsid w:val="007C0A2D"/>
    <w:rsid w:val="007C27B0"/>
    <w:rsid w:val="007C3147"/>
    <w:rsid w:val="007D2489"/>
    <w:rsid w:val="007F300B"/>
    <w:rsid w:val="008014C3"/>
    <w:rsid w:val="00812587"/>
    <w:rsid w:val="00846630"/>
    <w:rsid w:val="00850812"/>
    <w:rsid w:val="00867FF1"/>
    <w:rsid w:val="00876B9A"/>
    <w:rsid w:val="00886CBD"/>
    <w:rsid w:val="008933BF"/>
    <w:rsid w:val="008A10C4"/>
    <w:rsid w:val="008B0248"/>
    <w:rsid w:val="008D191D"/>
    <w:rsid w:val="008D5E96"/>
    <w:rsid w:val="008F50B0"/>
    <w:rsid w:val="008F5F33"/>
    <w:rsid w:val="0091046A"/>
    <w:rsid w:val="009204F3"/>
    <w:rsid w:val="00924155"/>
    <w:rsid w:val="009258BC"/>
    <w:rsid w:val="00926ABD"/>
    <w:rsid w:val="00931390"/>
    <w:rsid w:val="009326E1"/>
    <w:rsid w:val="009405C9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15D9A"/>
    <w:rsid w:val="00B27E39"/>
    <w:rsid w:val="00B32577"/>
    <w:rsid w:val="00B33A9A"/>
    <w:rsid w:val="00B34663"/>
    <w:rsid w:val="00B34C01"/>
    <w:rsid w:val="00B350D8"/>
    <w:rsid w:val="00B46A2A"/>
    <w:rsid w:val="00B60B4D"/>
    <w:rsid w:val="00B76763"/>
    <w:rsid w:val="00B7732B"/>
    <w:rsid w:val="00B879F0"/>
    <w:rsid w:val="00BB306A"/>
    <w:rsid w:val="00BB6FAE"/>
    <w:rsid w:val="00BC25AA"/>
    <w:rsid w:val="00BD47E0"/>
    <w:rsid w:val="00BF682E"/>
    <w:rsid w:val="00C022E3"/>
    <w:rsid w:val="00C1472D"/>
    <w:rsid w:val="00C22D17"/>
    <w:rsid w:val="00C26BB2"/>
    <w:rsid w:val="00C30C26"/>
    <w:rsid w:val="00C33407"/>
    <w:rsid w:val="00C403CD"/>
    <w:rsid w:val="00C4095A"/>
    <w:rsid w:val="00C4712D"/>
    <w:rsid w:val="00C555C9"/>
    <w:rsid w:val="00C64F9C"/>
    <w:rsid w:val="00C743A7"/>
    <w:rsid w:val="00C841A6"/>
    <w:rsid w:val="00C94F55"/>
    <w:rsid w:val="00CA7D62"/>
    <w:rsid w:val="00CB07A8"/>
    <w:rsid w:val="00CB2A55"/>
    <w:rsid w:val="00CD4A57"/>
    <w:rsid w:val="00D146F1"/>
    <w:rsid w:val="00D15F99"/>
    <w:rsid w:val="00D305DB"/>
    <w:rsid w:val="00D33604"/>
    <w:rsid w:val="00D35C18"/>
    <w:rsid w:val="00D366C4"/>
    <w:rsid w:val="00D37460"/>
    <w:rsid w:val="00D37B08"/>
    <w:rsid w:val="00D437FF"/>
    <w:rsid w:val="00D5130C"/>
    <w:rsid w:val="00D62265"/>
    <w:rsid w:val="00D625D2"/>
    <w:rsid w:val="00D73770"/>
    <w:rsid w:val="00D8512E"/>
    <w:rsid w:val="00DA1E58"/>
    <w:rsid w:val="00DA7798"/>
    <w:rsid w:val="00DB75B8"/>
    <w:rsid w:val="00DC1055"/>
    <w:rsid w:val="00DC1396"/>
    <w:rsid w:val="00DE4EF2"/>
    <w:rsid w:val="00DF0F93"/>
    <w:rsid w:val="00DF2C0E"/>
    <w:rsid w:val="00DF772B"/>
    <w:rsid w:val="00E04DB6"/>
    <w:rsid w:val="00E06FFB"/>
    <w:rsid w:val="00E073D4"/>
    <w:rsid w:val="00E30155"/>
    <w:rsid w:val="00E536F5"/>
    <w:rsid w:val="00E67ABE"/>
    <w:rsid w:val="00E82D8D"/>
    <w:rsid w:val="00E91FE1"/>
    <w:rsid w:val="00EA5E95"/>
    <w:rsid w:val="00ED4954"/>
    <w:rsid w:val="00ED5A43"/>
    <w:rsid w:val="00EE0943"/>
    <w:rsid w:val="00EE33A2"/>
    <w:rsid w:val="00EE4068"/>
    <w:rsid w:val="00F526B6"/>
    <w:rsid w:val="00F67A1C"/>
    <w:rsid w:val="00F7493F"/>
    <w:rsid w:val="00F82C5B"/>
    <w:rsid w:val="00F85325"/>
    <w:rsid w:val="00F8555F"/>
    <w:rsid w:val="00FA0C88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2025-10-02T11:45:00Z</dcterms:created>
  <dcterms:modified xsi:type="dcterms:W3CDTF">2025-10-02T11:45:00Z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